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7"/>
        <w:tblOverlap w:val="never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0"/>
        <w:gridCol w:w="1842"/>
        <w:gridCol w:w="2721"/>
      </w:tblGrid>
      <w:tr w:rsidR="00A8534E" w:rsidTr="00A8534E">
        <w:trPr>
          <w:cantSplit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资金支出预算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金额（万元）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支出</w:t>
            </w: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、仪器设备购置及维修费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Pr="00094DE4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94DE4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Pr="00094DE4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94DE4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、材料费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、场地改造费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、测试化验加工费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、燃料动力费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、差旅费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534E" w:rsidTr="00A8534E">
        <w:trPr>
          <w:cantSplit/>
          <w:trHeight w:val="71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、产学研合作与交流费（包括国际合作与交流）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8534E" w:rsidTr="00A8534E">
        <w:trPr>
          <w:cantSplit/>
          <w:trHeight w:val="57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、出版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文献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信息传播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知识产权事务费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534E" w:rsidTr="00A8534E">
        <w:trPr>
          <w:cantSplit/>
          <w:trHeight w:val="48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、劳务费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534E" w:rsidTr="00A8534E">
        <w:trPr>
          <w:cantSplit/>
          <w:trHeight w:val="48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、专家咨询费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、会议费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、其他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534E" w:rsidTr="00A8534E">
        <w:trPr>
          <w:cantSplit/>
          <w:trHeight w:val="5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 w:rsidP="00A8534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7612C0" w:rsidRDefault="00A8534E" w:rsidP="006D1F3F">
      <w:pPr>
        <w:ind w:firstLineChars="1250" w:firstLine="2635"/>
      </w:pPr>
      <w:r>
        <w:rPr>
          <w:rFonts w:hint="eastAsia"/>
          <w:b/>
        </w:rPr>
        <w:t>校城融合发展专项资金预算支出表</w:t>
      </w:r>
    </w:p>
    <w:sectPr w:rsidR="007612C0" w:rsidSect="00761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F4" w:rsidRDefault="00FA27F4" w:rsidP="006D1F3F">
      <w:r>
        <w:separator/>
      </w:r>
    </w:p>
  </w:endnote>
  <w:endnote w:type="continuationSeparator" w:id="0">
    <w:p w:rsidR="00FA27F4" w:rsidRDefault="00FA27F4" w:rsidP="006D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F4" w:rsidRDefault="00FA27F4" w:rsidP="006D1F3F">
      <w:r>
        <w:separator/>
      </w:r>
    </w:p>
  </w:footnote>
  <w:footnote w:type="continuationSeparator" w:id="0">
    <w:p w:rsidR="00FA27F4" w:rsidRDefault="00FA27F4" w:rsidP="006D1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34E"/>
    <w:rsid w:val="00445DAA"/>
    <w:rsid w:val="006D1F3F"/>
    <w:rsid w:val="007612C0"/>
    <w:rsid w:val="00A8534E"/>
    <w:rsid w:val="00FA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F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F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张建阔</cp:lastModifiedBy>
  <cp:revision>2</cp:revision>
  <dcterms:created xsi:type="dcterms:W3CDTF">2017-10-17T03:18:00Z</dcterms:created>
  <dcterms:modified xsi:type="dcterms:W3CDTF">2017-10-17T03:18:00Z</dcterms:modified>
</cp:coreProperties>
</file>